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color w:val="000000"/>
        </w:rPr>
        <w:t>Rekomenduojamos knygos 5 klasei pagal atnaujintą programą</w:t>
      </w:r>
    </w:p>
    <w:p w14:paraId="00000002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J. Biliūnas, „Joniukas“, „Kliudžiau“, „Brisiaus galas“;</w:t>
      </w:r>
    </w:p>
    <w:p w14:paraId="00000004" w14:textId="1C148BFA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V. Krėvė, pasirinkti apsakymai; </w:t>
      </w:r>
    </w:p>
    <w:p w14:paraId="00000005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K. Saja, „Klumpės“; </w:t>
      </w:r>
    </w:p>
    <w:p w14:paraId="00000006" w14:textId="77777777" w:rsidR="00FE7672" w:rsidRPr="00FF2355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FF2355">
        <w:rPr>
          <w:rFonts w:ascii="Times New Roman" w:eastAsia="Times New Roman" w:hAnsi="Times New Roman" w:cs="Times New Roman"/>
          <w:b/>
          <w:color w:val="000000"/>
        </w:rPr>
        <w:t xml:space="preserve">Šatrijos Ragana, „Irkos tragedija“; </w:t>
      </w:r>
    </w:p>
    <w:p w14:paraId="00000007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Vaičiulaitis, „Vakaras sargo namely“; </w:t>
      </w:r>
    </w:p>
    <w:p w14:paraId="00000008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Vaižgantas, „Aleksiukas ir motutė“; </w:t>
      </w:r>
    </w:p>
    <w:p w14:paraId="00000009" w14:textId="77777777" w:rsidR="00FE7672" w:rsidRPr="00FF2355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FF2355">
        <w:rPr>
          <w:rFonts w:ascii="Times New Roman" w:eastAsia="Times New Roman" w:hAnsi="Times New Roman" w:cs="Times New Roman"/>
          <w:b/>
          <w:color w:val="000000"/>
        </w:rPr>
        <w:t xml:space="preserve">Vilė Vėl, „Kaip mes išgarsėjome“; </w:t>
      </w:r>
    </w:p>
    <w:p w14:paraId="0000000A" w14:textId="77777777" w:rsidR="00FE7672" w:rsidRPr="00FF2355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FF2355">
        <w:rPr>
          <w:rFonts w:ascii="Times New Roman" w:eastAsia="Times New Roman" w:hAnsi="Times New Roman" w:cs="Times New Roman"/>
          <w:b/>
          <w:color w:val="000000"/>
        </w:rPr>
        <w:t>B. Vilimaitė, pasirinkti apsakymai;</w:t>
      </w:r>
    </w:p>
    <w:p w14:paraId="0000000B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L. M. Alkot (L. M. Alcott), „Mažosios moterys“; </w:t>
      </w:r>
    </w:p>
    <w:p w14:paraId="0000000C" w14:textId="77777777" w:rsidR="00FE7672" w:rsidRPr="00FF2355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FF2355">
        <w:rPr>
          <w:rFonts w:ascii="Times New Roman" w:eastAsia="Times New Roman" w:hAnsi="Times New Roman" w:cs="Times New Roman"/>
          <w:b/>
          <w:color w:val="000000"/>
        </w:rPr>
        <w:t xml:space="preserve">E. de Amičis (E. de Amici), „Širdis“; </w:t>
      </w:r>
    </w:p>
    <w:p w14:paraId="0000000D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F. H. E. Bernet (F. E. Burnett, „Mažasis lordas Fontlerojus“, „Mažoji princesė“; </w:t>
      </w:r>
    </w:p>
    <w:p w14:paraId="0000000E" w14:textId="77777777" w:rsidR="00FE7672" w:rsidRPr="00FF2355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FF2355">
        <w:rPr>
          <w:rFonts w:ascii="Times New Roman" w:eastAsia="Times New Roman" w:hAnsi="Times New Roman" w:cs="Times New Roman"/>
          <w:b/>
          <w:color w:val="000000"/>
        </w:rPr>
        <w:t xml:space="preserve">Č. Dikensas (Ch. Dickens), „Oliverio Tvisto nuotykiai“; </w:t>
      </w:r>
    </w:p>
    <w:p w14:paraId="0000000F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Dodė (A. Daudet), „Laiškai iš mano malūno“; </w:t>
      </w:r>
    </w:p>
    <w:p w14:paraId="00000010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F. Dostojevskis, pasirinkti kūriniai iš prozos rinktinės „Vaikams“; </w:t>
      </w:r>
    </w:p>
    <w:p w14:paraId="00000011" w14:textId="77777777" w:rsidR="00FE7672" w:rsidRPr="00FF2355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FF2355">
        <w:rPr>
          <w:rFonts w:ascii="Times New Roman" w:eastAsia="Times New Roman" w:hAnsi="Times New Roman" w:cs="Times New Roman"/>
          <w:b/>
          <w:color w:val="000000"/>
        </w:rPr>
        <w:t xml:space="preserve">P. Hertlingas (P. Härtling), „Benas myli Aną“; </w:t>
      </w:r>
    </w:p>
    <w:p w14:paraId="00000012" w14:textId="77777777" w:rsidR="00FE7672" w:rsidRPr="00FF2355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FF2355">
        <w:rPr>
          <w:rFonts w:ascii="Times New Roman" w:eastAsia="Times New Roman" w:hAnsi="Times New Roman" w:cs="Times New Roman"/>
          <w:b/>
          <w:color w:val="000000"/>
        </w:rPr>
        <w:t xml:space="preserve">K. di DikamiloKamilo (K. DiCamillo di Camillo), „Jei ne Vinis Diksis“; </w:t>
      </w:r>
    </w:p>
    <w:p w14:paraId="00000013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Ė. Kestneris (E. Kästner), „Mažulė ir Antonas“, „Dvynukės“, „Skrajojanti klasė“; </w:t>
      </w:r>
    </w:p>
    <w:p w14:paraId="00000014" w14:textId="77777777" w:rsidR="00FE7672" w:rsidRPr="00FF2355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FF2355">
        <w:rPr>
          <w:rFonts w:ascii="Times New Roman" w:eastAsia="Times New Roman" w:hAnsi="Times New Roman" w:cs="Times New Roman"/>
          <w:b/>
          <w:color w:val="000000"/>
        </w:rPr>
        <w:t xml:space="preserve">A. Lindgren (A. Lindgren), „Ronja plėšiko duktė“, „Rasmusas klajūnas“; </w:t>
      </w:r>
    </w:p>
    <w:p w14:paraId="00000015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L. M. Montgomeri (L. M. Montgomery), „Anė iš Žaliastogių“; </w:t>
      </w:r>
    </w:p>
    <w:p w14:paraId="00000016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E. Naitas (E. Knight), „Lesė grįžta“; </w:t>
      </w:r>
    </w:p>
    <w:p w14:paraId="00000017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Naneti (A. Nanetti), „Mano senelis buvo vyšnia“; </w:t>
      </w:r>
    </w:p>
    <w:p w14:paraId="00000018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K. Paterson (K. Paterson</w:t>
      </w:r>
      <w:r w:rsidRPr="00FF2355">
        <w:rPr>
          <w:rFonts w:ascii="Times New Roman" w:eastAsia="Times New Roman" w:hAnsi="Times New Roman" w:cs="Times New Roman"/>
          <w:b/>
          <w:color w:val="000000"/>
        </w:rPr>
        <w:t>), „Smarkuolė Gilės Hopkins“,</w:t>
      </w:r>
      <w:r>
        <w:rPr>
          <w:rFonts w:ascii="Times New Roman" w:eastAsia="Times New Roman" w:hAnsi="Times New Roman" w:cs="Times New Roman"/>
          <w:color w:val="000000"/>
        </w:rPr>
        <w:t xml:space="preserve"> „Kaip ir žvaigždės“; </w:t>
      </w:r>
    </w:p>
    <w:p w14:paraId="00000019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E. H. Porter, „Poliana“; </w:t>
      </w:r>
    </w:p>
    <w:p w14:paraId="0000001A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V. Sarojanas (W. Saroyan), „Tėti, tu keistuolis“, „Mama, aš tave myliu“; </w:t>
      </w:r>
    </w:p>
    <w:p w14:paraId="0000001B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J. Špyri (Spyri), „Heida“; </w:t>
      </w:r>
    </w:p>
    <w:p w14:paraId="0000001C" w14:textId="77777777" w:rsidR="00FE7672" w:rsidRPr="00FF2355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FF2355">
        <w:rPr>
          <w:rFonts w:ascii="Times New Roman" w:eastAsia="Times New Roman" w:hAnsi="Times New Roman" w:cs="Times New Roman"/>
          <w:b/>
          <w:color w:val="000000"/>
        </w:rPr>
        <w:t xml:space="preserve">M. Tvenas (M. Twain), „Princas ir elgeta“, „Tomo Sojerio nuotykiai“; </w:t>
      </w:r>
    </w:p>
    <w:p w14:paraId="0000001D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K. Boruta, „Jurgio Paketurio klajonės“, „Dangus griūva“; </w:t>
      </w:r>
    </w:p>
    <w:p w14:paraId="0000001E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I. Ežerinytė, „Šunojaus diena“; </w:t>
      </w:r>
    </w:p>
    <w:p w14:paraId="0000001F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S. Geda, „Karalaitė ant svarstyklių“; </w:t>
      </w:r>
    </w:p>
    <w:p w14:paraId="00000020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J. Ivanauskaitė, „Stebuklinga spanguolė“; </w:t>
      </w:r>
    </w:p>
    <w:p w14:paraId="00000021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J. Jankus, „Po raganos kirviu“; </w:t>
      </w:r>
    </w:p>
    <w:p w14:paraId="00000022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J. Kaupas, „Daktaras Kripštukas pragare“; </w:t>
      </w:r>
    </w:p>
    <w:p w14:paraId="00000023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Liobytė, „Kupriukas muzikantas“, „Pasaka apie narsią Vilniaus mergaitę ir galvažudį Žaliabarzdį“; </w:t>
      </w:r>
    </w:p>
    <w:p w14:paraId="00000024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O. Milašius, „Lietuviškos pasakos“; </w:t>
      </w:r>
    </w:p>
    <w:p w14:paraId="00000025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Mekas ir J. Mekas, „Knyga apie karalius ir žmones“; </w:t>
      </w:r>
    </w:p>
    <w:p w14:paraId="00000026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S. Poškus, „Trumpos pasakaitės“, „Dovilės albumas“; </w:t>
      </w:r>
    </w:p>
    <w:p w14:paraId="00000027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M. Sluckis, „Milžinai nenorėjo karaliais būti“; </w:t>
      </w:r>
    </w:p>
    <w:p w14:paraId="00000028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Vaičiulaitis, „Pasakos“; </w:t>
      </w:r>
    </w:p>
    <w:p w14:paraId="00000029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M. Vainilaitis, „Sidabrinė kultuvėlė“; </w:t>
      </w:r>
    </w:p>
    <w:p w14:paraId="0000002A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F2355">
        <w:rPr>
          <w:rFonts w:ascii="Times New Roman" w:eastAsia="Times New Roman" w:hAnsi="Times New Roman" w:cs="Times New Roman"/>
          <w:b/>
          <w:color w:val="000000"/>
        </w:rPr>
        <w:t>V. Žilinskaitė, „Kelionė į Tandadriką“, „Tiputapė“, „Gaidžio kalnas“ ar kiti šių arba kitų autorių kūriniai (ištraukos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0000002B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H. K. Andersenas (H. Ch. Andersen), „Nauji karaliaus drabužiai“ ar kitos pasirinktos pasakos;</w:t>
      </w:r>
    </w:p>
    <w:p w14:paraId="0000002C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Dž. M. Baris (J. M. Barrie), „Piteris Penas“; </w:t>
      </w:r>
    </w:p>
    <w:p w14:paraId="0000002D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Dž. Boinas (J. Boyne), „Baisus dalykas, nutikęs Barnabiui Broketui“; </w:t>
      </w:r>
    </w:p>
    <w:p w14:paraId="0000002E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N. Džasteris (N. Juster), „Stebuklingoji būdelė“; </w:t>
      </w:r>
    </w:p>
    <w:p w14:paraId="0000002F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Greihamas (K. Grahame), „Vėjas gluosniuose“; </w:t>
      </w:r>
    </w:p>
    <w:p w14:paraId="00000030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M. Endė (M. Ende), „Begalinė istorija“; </w:t>
      </w:r>
    </w:p>
    <w:p w14:paraId="00000031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T. Janson (T. Jansson), „Tėtis ir jūra“; </w:t>
      </w:r>
    </w:p>
    <w:p w14:paraId="00000032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L. Kerolis (L. Carroll), „Alisa stebuklų šalyje“; </w:t>
      </w:r>
    </w:p>
    <w:p w14:paraId="00000033" w14:textId="77777777" w:rsidR="00FE7672" w:rsidRPr="00FF2355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FF2355">
        <w:rPr>
          <w:rFonts w:ascii="Times New Roman" w:eastAsia="Times New Roman" w:hAnsi="Times New Roman" w:cs="Times New Roman"/>
          <w:b/>
          <w:color w:val="000000"/>
        </w:rPr>
        <w:t xml:space="preserve">J. Korčakas (J. Korczak), „Karalius Motiejukas Pirmasis“; </w:t>
      </w:r>
    </w:p>
    <w:p w14:paraId="00000034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J. Lada (J. Lada), „Išdaigų pasakos“; </w:t>
      </w:r>
    </w:p>
    <w:p w14:paraId="00000035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 Lindgren (A. Lindgren), „Broliai Liūtaširdžiai“, „Mijo, mano Mijo“; </w:t>
      </w:r>
    </w:p>
    <w:p w14:paraId="00000036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S. Magnasonas (A. S. Magnason), „Mėlynosios planetos istorija“; </w:t>
      </w:r>
    </w:p>
    <w:p w14:paraId="00000037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Š. Pero (Ch. Perrault), „Motulės Žąsies pasakos“; </w:t>
      </w:r>
    </w:p>
    <w:p w14:paraId="00000038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Dž. K. Rouling (J. K. Rowling), „Haris Poteris ir Išminties akmuo“; </w:t>
      </w:r>
    </w:p>
    <w:p w14:paraId="00000039" w14:textId="77777777" w:rsidR="00FE7672" w:rsidRPr="00FF2355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FF2355">
        <w:rPr>
          <w:rFonts w:ascii="Times New Roman" w:eastAsia="Times New Roman" w:hAnsi="Times New Roman" w:cs="Times New Roman"/>
          <w:b/>
          <w:color w:val="000000"/>
        </w:rPr>
        <w:t xml:space="preserve">A. de Sent Egziuperi (A. de Saint-Exupéry), „Mažasis princas“; </w:t>
      </w:r>
    </w:p>
    <w:p w14:paraId="0000003A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Dž. R. R. Tolkinas (J. R. R. Tolkien), „Nepaprastosios Karalystės pasakos“; </w:t>
      </w:r>
    </w:p>
    <w:p w14:paraId="0000003B" w14:textId="77777777" w:rsidR="00FE7672" w:rsidRDefault="00FF23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O. Vaildas (O. Wilde), „Laimingasis princas ir kitos pasakos“ ar kiti tų pačių šių arba kitų autorių kūriniai kiti pasirinkti kūriniai (ištraukos).</w:t>
      </w:r>
    </w:p>
    <w:sectPr w:rsidR="00FE7672">
      <w:pgSz w:w="11906" w:h="16838"/>
      <w:pgMar w:top="720" w:right="720" w:bottom="720" w:left="720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72"/>
    <w:rsid w:val="00F07F05"/>
    <w:rsid w:val="00FE7672"/>
    <w:rsid w:val="00F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F9350"/>
  <w15:docId w15:val="{4ED4D931-5A5A-4551-A65E-1FEE65DC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t-L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2024-06-19T05:04:00Z</dcterms:created>
  <dcterms:modified xsi:type="dcterms:W3CDTF">2024-06-19T05:04:00Z</dcterms:modified>
</cp:coreProperties>
</file>